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5D" w:rsidRPr="002878D9" w:rsidRDefault="00EE2E5D" w:rsidP="00901C6B">
      <w:pPr>
        <w:pStyle w:val="Caption"/>
        <w:rPr>
          <w:rFonts w:asciiTheme="majorHAnsi" w:hAnsiTheme="majorHAnsi" w:cstheme="majorHAnsi"/>
          <w:sz w:val="26"/>
          <w:szCs w:val="26"/>
        </w:rPr>
      </w:pPr>
      <w:bookmarkStart w:id="0" w:name="_Toc501589040"/>
    </w:p>
    <w:p w:rsidR="00901C6B" w:rsidRPr="002878D9" w:rsidRDefault="00901C6B" w:rsidP="00901C6B">
      <w:pPr>
        <w:pStyle w:val="Caption"/>
        <w:rPr>
          <w:rFonts w:asciiTheme="majorHAnsi" w:hAnsiTheme="majorHAnsi" w:cstheme="majorHAnsi"/>
          <w:sz w:val="26"/>
          <w:szCs w:val="26"/>
          <w:lang w:val="fr-FR"/>
        </w:rPr>
      </w:pPr>
      <w:r w:rsidRPr="002878D9">
        <w:rPr>
          <w:rFonts w:asciiTheme="majorHAnsi" w:hAnsiTheme="majorHAnsi" w:cstheme="majorHAnsi"/>
          <w:sz w:val="26"/>
          <w:szCs w:val="26"/>
          <w:lang w:val="fr-FR"/>
        </w:rPr>
        <w:t>Anne</w:t>
      </w:r>
      <w:bookmarkStart w:id="1" w:name="_GoBack"/>
      <w:bookmarkEnd w:id="1"/>
      <w:r w:rsidRPr="002878D9">
        <w:rPr>
          <w:rFonts w:asciiTheme="majorHAnsi" w:hAnsiTheme="majorHAnsi" w:cstheme="majorHAnsi"/>
          <w:sz w:val="26"/>
          <w:szCs w:val="26"/>
          <w:lang w:val="fr-FR"/>
        </w:rPr>
        <w:t>x</w:t>
      </w:r>
      <w:r w:rsidR="008B6A6D" w:rsidRPr="002878D9">
        <w:rPr>
          <w:rFonts w:asciiTheme="majorHAnsi" w:hAnsiTheme="majorHAnsi" w:cstheme="majorHAnsi"/>
          <w:sz w:val="26"/>
          <w:szCs w:val="26"/>
          <w:lang w:val="fr-FR"/>
        </w:rPr>
        <w:t>e</w:t>
      </w:r>
      <w:r w:rsidRPr="002878D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Pr="002878D9">
        <w:rPr>
          <w:rFonts w:asciiTheme="majorHAnsi" w:hAnsiTheme="majorHAnsi" w:cstheme="majorHAnsi"/>
          <w:sz w:val="26"/>
          <w:szCs w:val="26"/>
        </w:rPr>
        <w:fldChar w:fldCharType="begin"/>
      </w:r>
      <w:r w:rsidRPr="002878D9">
        <w:rPr>
          <w:rFonts w:asciiTheme="majorHAnsi" w:hAnsiTheme="majorHAnsi" w:cstheme="majorHAnsi"/>
          <w:sz w:val="26"/>
          <w:szCs w:val="26"/>
          <w:lang w:val="fr-FR"/>
        </w:rPr>
        <w:instrText xml:space="preserve"> SEQ Annex \* ARABIC </w:instrText>
      </w:r>
      <w:r w:rsidRPr="002878D9">
        <w:rPr>
          <w:rFonts w:asciiTheme="majorHAnsi" w:hAnsiTheme="majorHAnsi" w:cstheme="majorHAnsi"/>
          <w:sz w:val="26"/>
          <w:szCs w:val="26"/>
        </w:rPr>
        <w:fldChar w:fldCharType="separate"/>
      </w:r>
      <w:r w:rsidRPr="002878D9">
        <w:rPr>
          <w:rFonts w:asciiTheme="majorHAnsi" w:hAnsiTheme="majorHAnsi" w:cstheme="majorHAnsi"/>
          <w:noProof/>
          <w:sz w:val="26"/>
          <w:szCs w:val="26"/>
          <w:lang w:val="fr-FR"/>
        </w:rPr>
        <w:t>2</w:t>
      </w:r>
      <w:r w:rsidRPr="002878D9">
        <w:rPr>
          <w:rFonts w:asciiTheme="majorHAnsi" w:hAnsiTheme="majorHAnsi" w:cstheme="majorHAnsi"/>
          <w:sz w:val="26"/>
          <w:szCs w:val="26"/>
        </w:rPr>
        <w:fldChar w:fldCharType="end"/>
      </w:r>
      <w:r w:rsidRPr="002878D9">
        <w:rPr>
          <w:rFonts w:asciiTheme="majorHAnsi" w:hAnsiTheme="majorHAnsi" w:cstheme="majorHAnsi"/>
          <w:sz w:val="26"/>
          <w:szCs w:val="26"/>
          <w:lang w:val="fr-FR"/>
        </w:rPr>
        <w:t xml:space="preserve">: </w:t>
      </w:r>
      <w:r w:rsidR="0073431F" w:rsidRPr="002878D9">
        <w:rPr>
          <w:rFonts w:asciiTheme="majorHAnsi" w:hAnsiTheme="majorHAnsi" w:cstheme="majorHAnsi"/>
          <w:sz w:val="26"/>
          <w:szCs w:val="26"/>
          <w:lang w:val="fr-FR"/>
        </w:rPr>
        <w:t>Protocole d’accord pour la demande de Mectizan</w:t>
      </w:r>
      <w:r w:rsidR="002878D9" w:rsidRPr="002878D9">
        <w:rPr>
          <w:rFonts w:asciiTheme="majorHAnsi" w:hAnsiTheme="majorHAnsi" w:cstheme="majorHAnsi"/>
          <w:color w:val="222222"/>
          <w:vertAlign w:val="superscript"/>
        </w:rPr>
        <w:sym w:font="Symbol" w:char="F0D2"/>
      </w:r>
      <w:r w:rsidR="0073431F" w:rsidRPr="002878D9">
        <w:rPr>
          <w:rFonts w:asciiTheme="majorHAnsi" w:hAnsiTheme="majorHAnsi" w:cstheme="majorHAnsi"/>
          <w:sz w:val="26"/>
          <w:szCs w:val="26"/>
          <w:lang w:val="fr-FR"/>
        </w:rPr>
        <w:t xml:space="preserve"> en vue de l’</w:t>
      </w:r>
      <w:r w:rsidR="008B6A6D" w:rsidRPr="002878D9">
        <w:rPr>
          <w:rFonts w:asciiTheme="majorHAnsi" w:hAnsiTheme="majorHAnsi" w:cstheme="majorHAnsi"/>
          <w:sz w:val="26"/>
          <w:szCs w:val="26"/>
          <w:lang w:val="fr-FR"/>
        </w:rPr>
        <w:t xml:space="preserve">élimination de la filariose lymphatique. </w:t>
      </w:r>
      <w:bookmarkEnd w:id="0"/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b/>
          <w:sz w:val="26"/>
          <w:szCs w:val="26"/>
        </w:rPr>
      </w:pPr>
    </w:p>
    <w:p w:rsidR="008B6A6D" w:rsidRPr="002878D9" w:rsidRDefault="008B6A6D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3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color w:val="222222"/>
          <w:sz w:val="26"/>
          <w:szCs w:val="26"/>
        </w:rPr>
        <w:t>En sollicitant le don de Mectizan</w:t>
      </w:r>
      <w:r w:rsidRPr="002878D9">
        <w:rPr>
          <w:rFonts w:asciiTheme="majorHAnsi" w:hAnsiTheme="majorHAnsi" w:cstheme="majorHAnsi"/>
          <w:color w:val="222222"/>
          <w:sz w:val="20"/>
          <w:vertAlign w:val="superscript"/>
        </w:rPr>
        <w:sym w:font="Symbol" w:char="F0D2"/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pour distribution </w:t>
      </w:r>
      <w:r w:rsidR="00C67667" w:rsidRPr="002878D9">
        <w:rPr>
          <w:rFonts w:asciiTheme="majorHAnsi" w:hAnsiTheme="majorHAnsi" w:cstheme="majorHAnsi"/>
          <w:color w:val="222222"/>
          <w:sz w:val="26"/>
          <w:szCs w:val="26"/>
        </w:rPr>
        <w:t>en campagne de masse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en association avec </w:t>
      </w:r>
      <w:r w:rsidR="00C67667" w:rsidRPr="002878D9">
        <w:rPr>
          <w:rFonts w:asciiTheme="majorHAnsi" w:hAnsiTheme="majorHAnsi" w:cstheme="majorHAnsi"/>
          <w:color w:val="222222"/>
          <w:sz w:val="26"/>
          <w:szCs w:val="26"/>
        </w:rPr>
        <w:t>l’</w:t>
      </w:r>
      <w:proofErr w:type="spellStart"/>
      <w:r w:rsidR="00C67667" w:rsidRPr="002878D9">
        <w:rPr>
          <w:rFonts w:asciiTheme="majorHAnsi" w:hAnsiTheme="majorHAnsi" w:cstheme="majorHAnsi"/>
          <w:color w:val="222222"/>
          <w:sz w:val="26"/>
          <w:szCs w:val="26"/>
        </w:rPr>
        <w:t>albendazole</w:t>
      </w:r>
      <w:proofErr w:type="spellEnd"/>
      <w:r w:rsidR="00C67667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(donnée par GSK) et le 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>DEC (</w:t>
      </w:r>
      <w:r w:rsidR="00C67667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donné par 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EISAI) </w:t>
      </w:r>
      <w:r w:rsidR="0013240C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(IDA) 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>pour l'élimination de la filariose l</w:t>
      </w:r>
      <w:r w:rsidR="00615998" w:rsidRPr="002878D9">
        <w:rPr>
          <w:rFonts w:asciiTheme="majorHAnsi" w:hAnsiTheme="majorHAnsi" w:cstheme="majorHAnsi"/>
          <w:color w:val="222222"/>
          <w:sz w:val="26"/>
          <w:szCs w:val="26"/>
        </w:rPr>
        <w:t>ymphatique, le ministère de la s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>anté du (pays</w:t>
      </w:r>
      <w:r w:rsidR="00C67667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) : ------------------- accepte de : </w:t>
      </w:r>
    </w:p>
    <w:p w:rsidR="00615998" w:rsidRPr="002878D9" w:rsidRDefault="00615998" w:rsidP="00901C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Soumettre un plan stratégique d’élimination et un plan </w:t>
      </w:r>
      <w:r w:rsidR="00C510AF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d’action 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>annuel pour informer sur la cible d’élimination fixée par le</w:t>
      </w:r>
      <w:r w:rsidR="00E931DC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pays (y compris la définition de l’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année </w:t>
      </w:r>
      <w:r w:rsidR="00E931DC" w:rsidRPr="002878D9">
        <w:rPr>
          <w:rFonts w:asciiTheme="majorHAnsi" w:hAnsiTheme="majorHAnsi" w:cstheme="majorHAnsi"/>
          <w:color w:val="222222"/>
          <w:sz w:val="26"/>
          <w:szCs w:val="26"/>
        </w:rPr>
        <w:t>appropriée d’atteinte de l’élimination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) et les besoins en médicaments afin de guider </w:t>
      </w:r>
      <w:r w:rsidR="00C510AF" w:rsidRPr="002878D9">
        <w:rPr>
          <w:rFonts w:asciiTheme="majorHAnsi" w:hAnsiTheme="majorHAnsi" w:cstheme="majorHAnsi"/>
          <w:color w:val="222222"/>
          <w:sz w:val="26"/>
          <w:szCs w:val="26"/>
        </w:rPr>
        <w:t>la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production </w:t>
      </w:r>
      <w:r w:rsidR="00C510AF" w:rsidRPr="002878D9">
        <w:rPr>
          <w:rFonts w:asciiTheme="majorHAnsi" w:hAnsiTheme="majorHAnsi" w:cstheme="majorHAnsi"/>
          <w:color w:val="222222"/>
          <w:sz w:val="26"/>
          <w:szCs w:val="26"/>
        </w:rPr>
        <w:t>et l’approvisionnement adéquat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des médicaments</w:t>
      </w:r>
    </w:p>
    <w:p w:rsidR="00C510AF" w:rsidRPr="002878D9" w:rsidRDefault="00C510AF" w:rsidP="00901C6B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3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Si </w:t>
      </w:r>
      <w:r w:rsidR="0001150C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cela est 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exigé par </w:t>
      </w:r>
      <w:r w:rsidR="0001150C" w:rsidRPr="002878D9">
        <w:rPr>
          <w:rFonts w:asciiTheme="majorHAnsi" w:hAnsiTheme="majorHAnsi" w:cstheme="majorHAnsi"/>
          <w:color w:val="222222"/>
          <w:sz w:val="26"/>
          <w:szCs w:val="26"/>
        </w:rPr>
        <w:t>la loi, enregistrer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le Mectizan</w:t>
      </w:r>
      <w:r w:rsidR="0001150C" w:rsidRPr="002878D9">
        <w:rPr>
          <w:rFonts w:asciiTheme="majorHAnsi" w:hAnsiTheme="majorHAnsi" w:cstheme="majorHAnsi"/>
          <w:sz w:val="26"/>
          <w:szCs w:val="26"/>
        </w:rPr>
        <w:t>®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="0001150C" w:rsidRPr="002878D9">
        <w:rPr>
          <w:rFonts w:asciiTheme="majorHAnsi" w:hAnsiTheme="majorHAnsi" w:cstheme="majorHAnsi"/>
          <w:color w:val="222222"/>
          <w:sz w:val="26"/>
          <w:szCs w:val="26"/>
        </w:rPr>
        <w:t>auprès de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="0001150C" w:rsidRPr="002878D9">
        <w:rPr>
          <w:rFonts w:asciiTheme="majorHAnsi" w:hAnsiTheme="majorHAnsi" w:cstheme="majorHAnsi"/>
          <w:color w:val="222222"/>
          <w:sz w:val="26"/>
          <w:szCs w:val="26"/>
        </w:rPr>
        <w:t>l’autorité de régulation nationale compétente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:rsidR="0001150C" w:rsidRPr="002878D9" w:rsidRDefault="0001150C" w:rsidP="00901C6B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3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color w:val="222222"/>
          <w:sz w:val="26"/>
          <w:szCs w:val="26"/>
        </w:rPr>
        <w:t>Garantir l'entrée gratuite du Mectizan® dans le pays sans imposer de droits</w:t>
      </w:r>
      <w:r w:rsidR="000E2ECE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de douanes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, taxes ou </w:t>
      </w:r>
      <w:r w:rsidR="000E2ECE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tout 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autre </w:t>
      </w:r>
      <w:r w:rsidR="000E2ECE" w:rsidRPr="002878D9">
        <w:rPr>
          <w:rFonts w:asciiTheme="majorHAnsi" w:hAnsiTheme="majorHAnsi" w:cstheme="majorHAnsi"/>
          <w:color w:val="222222"/>
          <w:sz w:val="26"/>
          <w:szCs w:val="26"/>
        </w:rPr>
        <w:t>frais</w:t>
      </w:r>
      <w:r w:rsidR="002878D9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:rsidR="00901C6B" w:rsidRPr="002878D9" w:rsidRDefault="000E2ECE" w:rsidP="00BD7A05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3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Dès réception des envois, </w:t>
      </w:r>
      <w:r w:rsidR="00BD7A05" w:rsidRPr="002878D9">
        <w:rPr>
          <w:rFonts w:asciiTheme="majorHAnsi" w:hAnsiTheme="majorHAnsi" w:cstheme="majorHAnsi"/>
          <w:color w:val="222222"/>
          <w:sz w:val="26"/>
          <w:szCs w:val="26"/>
        </w:rPr>
        <w:t>renvoyer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l'accusé de réception dûment sig</w:t>
      </w:r>
      <w:r w:rsidR="00BD7A05" w:rsidRPr="002878D9">
        <w:rPr>
          <w:rFonts w:asciiTheme="majorHAnsi" w:hAnsiTheme="majorHAnsi" w:cstheme="majorHAnsi"/>
          <w:color w:val="222222"/>
          <w:sz w:val="26"/>
          <w:szCs w:val="26"/>
        </w:rPr>
        <w:t>né et tamponné au Programme de D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>ons du Mectizan</w:t>
      </w:r>
      <w:r w:rsidR="00901C6B" w:rsidRPr="002878D9">
        <w:rPr>
          <w:rFonts w:asciiTheme="majorHAnsi" w:hAnsiTheme="majorHAnsi" w:cstheme="majorHAnsi"/>
          <w:sz w:val="26"/>
          <w:szCs w:val="26"/>
        </w:rPr>
        <w:t xml:space="preserve"> (</w:t>
      </w:r>
      <w:hyperlink r:id="rId7" w:history="1">
        <w:r w:rsidR="00901C6B" w:rsidRPr="002878D9">
          <w:rPr>
            <w:rStyle w:val="Hyperlink"/>
            <w:rFonts w:asciiTheme="majorHAnsi" w:hAnsiTheme="majorHAnsi" w:cstheme="majorHAnsi"/>
            <w:sz w:val="26"/>
            <w:szCs w:val="26"/>
          </w:rPr>
          <w:t>mectizan@mectizan.org</w:t>
        </w:r>
      </w:hyperlink>
      <w:r w:rsidR="00901C6B" w:rsidRPr="002878D9">
        <w:rPr>
          <w:rFonts w:asciiTheme="majorHAnsi" w:hAnsiTheme="majorHAnsi" w:cstheme="majorHAnsi"/>
          <w:sz w:val="26"/>
          <w:szCs w:val="26"/>
        </w:rPr>
        <w:t xml:space="preserve">) </w:t>
      </w:r>
    </w:p>
    <w:p w:rsidR="00BD7A05" w:rsidRPr="002878D9" w:rsidRDefault="00BD7A05" w:rsidP="00901C6B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ajorHAnsi" w:hAnsiTheme="majorHAnsi" w:cstheme="majorHAnsi"/>
          <w:color w:val="222222"/>
          <w:sz w:val="26"/>
          <w:szCs w:val="26"/>
        </w:rPr>
      </w:pP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Assurer la mise à disposition de ressources adéquates pour </w:t>
      </w:r>
      <w:r w:rsidR="002878D9">
        <w:rPr>
          <w:rFonts w:asciiTheme="majorHAnsi" w:hAnsiTheme="majorHAnsi" w:cstheme="majorHAnsi"/>
          <w:color w:val="222222"/>
          <w:sz w:val="26"/>
          <w:szCs w:val="26"/>
        </w:rPr>
        <w:t>la mise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en œuvre la trithérapie, y compris le stockage des médicaments </w:t>
      </w:r>
      <w:r w:rsidR="00B806A1" w:rsidRPr="002878D9">
        <w:rPr>
          <w:rFonts w:asciiTheme="majorHAnsi" w:hAnsiTheme="majorHAnsi" w:cstheme="majorHAnsi"/>
          <w:color w:val="222222"/>
          <w:sz w:val="26"/>
          <w:szCs w:val="26"/>
        </w:rPr>
        <w:t>au dépôt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central, leur transport vers tous les points de distribution et leur administration </w:t>
      </w:r>
      <w:r w:rsidR="00B806A1" w:rsidRPr="002878D9">
        <w:rPr>
          <w:rFonts w:asciiTheme="majorHAnsi" w:hAnsiTheme="majorHAnsi" w:cstheme="majorHAnsi"/>
          <w:color w:val="222222"/>
          <w:sz w:val="26"/>
          <w:szCs w:val="26"/>
        </w:rPr>
        <w:t>directement observé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à la population bénéficiaire</w:t>
      </w:r>
      <w:r w:rsidR="002878D9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:rsidR="00582A4B" w:rsidRPr="002878D9" w:rsidRDefault="00582A4B" w:rsidP="00901C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Informer le personnel des hôpitaux / dispensaires, les leaders communautaires et la population bénéficiaire des éléments </w:t>
      </w:r>
      <w:proofErr w:type="gramStart"/>
      <w:r w:rsidRPr="002878D9">
        <w:rPr>
          <w:rFonts w:asciiTheme="majorHAnsi" w:hAnsiTheme="majorHAnsi" w:cstheme="majorHAnsi"/>
          <w:color w:val="222222"/>
          <w:sz w:val="26"/>
          <w:szCs w:val="26"/>
        </w:rPr>
        <w:t>suivants:</w:t>
      </w:r>
      <w:proofErr w:type="gramEnd"/>
    </w:p>
    <w:p w:rsidR="00901C6B" w:rsidRPr="002878D9" w:rsidRDefault="00F51031" w:rsidP="00F51031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2878D9">
        <w:rPr>
          <w:rFonts w:asciiTheme="majorHAnsi" w:hAnsiTheme="majorHAnsi" w:cstheme="majorHAnsi"/>
          <w:color w:val="222222"/>
          <w:sz w:val="26"/>
          <w:szCs w:val="26"/>
        </w:rPr>
        <w:t>ce</w:t>
      </w:r>
      <w:proofErr w:type="gramEnd"/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que le Mectizan® en association avec </w:t>
      </w:r>
      <w:proofErr w:type="spellStart"/>
      <w:r w:rsidRPr="002878D9">
        <w:rPr>
          <w:rFonts w:asciiTheme="majorHAnsi" w:hAnsiTheme="majorHAnsi" w:cstheme="majorHAnsi"/>
          <w:color w:val="222222"/>
          <w:sz w:val="26"/>
          <w:szCs w:val="26"/>
        </w:rPr>
        <w:t>albendazole</w:t>
      </w:r>
      <w:proofErr w:type="spellEnd"/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et DEC ne fera </w:t>
      </w:r>
      <w:r w:rsidRPr="002878D9">
        <w:rPr>
          <w:rFonts w:asciiTheme="majorHAnsi" w:hAnsiTheme="majorHAnsi" w:cstheme="majorHAnsi"/>
          <w:b/>
          <w:color w:val="222222"/>
          <w:sz w:val="26"/>
          <w:szCs w:val="26"/>
          <w:u w:val="single"/>
        </w:rPr>
        <w:t>PAS</w:t>
      </w:r>
      <w:r w:rsidRPr="002878D9">
        <w:rPr>
          <w:rFonts w:asciiTheme="majorHAnsi" w:hAnsiTheme="majorHAnsi" w:cstheme="majorHAnsi"/>
          <w:b/>
          <w:color w:val="222222"/>
          <w:sz w:val="26"/>
          <w:szCs w:val="26"/>
        </w:rPr>
        <w:t xml:space="preserve"> 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>(par exemple, soigner l’éléphantiasis</w:t>
      </w:r>
      <w:r w:rsidR="00901C6B" w:rsidRPr="002878D9">
        <w:rPr>
          <w:rFonts w:asciiTheme="majorHAnsi" w:hAnsiTheme="majorHAnsi" w:cstheme="majorHAnsi"/>
          <w:sz w:val="26"/>
          <w:szCs w:val="26"/>
        </w:rPr>
        <w:t>);</w:t>
      </w:r>
    </w:p>
    <w:p w:rsidR="0013240C" w:rsidRPr="002878D9" w:rsidRDefault="00F51031" w:rsidP="00F51031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2878D9">
        <w:rPr>
          <w:rFonts w:asciiTheme="majorHAnsi" w:hAnsiTheme="majorHAnsi" w:cstheme="majorHAnsi"/>
          <w:color w:val="222222"/>
          <w:sz w:val="26"/>
          <w:szCs w:val="26"/>
        </w:rPr>
        <w:t>la</w:t>
      </w:r>
      <w:proofErr w:type="gramEnd"/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nécessité </w:t>
      </w:r>
      <w:r w:rsidR="0013240C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que 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des couvertures efficaces </w:t>
      </w:r>
      <w:r w:rsidR="0013240C" w:rsidRPr="002878D9">
        <w:rPr>
          <w:rFonts w:asciiTheme="majorHAnsi" w:hAnsiTheme="majorHAnsi" w:cstheme="majorHAnsi"/>
          <w:color w:val="222222"/>
          <w:sz w:val="26"/>
          <w:szCs w:val="26"/>
        </w:rPr>
        <w:t>soient atteintes au cours de chacun des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cycle</w:t>
      </w:r>
      <w:r w:rsidR="0013240C" w:rsidRPr="002878D9">
        <w:rPr>
          <w:rFonts w:asciiTheme="majorHAnsi" w:hAnsiTheme="majorHAnsi" w:cstheme="majorHAnsi"/>
          <w:color w:val="222222"/>
          <w:sz w:val="26"/>
          <w:szCs w:val="26"/>
        </w:rPr>
        <w:t>s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de traitement;</w:t>
      </w:r>
    </w:p>
    <w:p w:rsidR="00F51031" w:rsidRPr="002878D9" w:rsidRDefault="000874D6" w:rsidP="00F51031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2878D9">
        <w:rPr>
          <w:rFonts w:asciiTheme="majorHAnsi" w:hAnsiTheme="majorHAnsi" w:cstheme="majorHAnsi"/>
          <w:color w:val="222222"/>
          <w:sz w:val="26"/>
          <w:szCs w:val="26"/>
        </w:rPr>
        <w:lastRenderedPageBreak/>
        <w:t>la</w:t>
      </w:r>
      <w:proofErr w:type="gramEnd"/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possibilité de survenue d’</w:t>
      </w:r>
      <w:r w:rsidR="00F51031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événements indésirables liés à l’IDA 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>après le</w:t>
      </w:r>
      <w:r w:rsidR="00F51031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traitement par l’IDA.</w:t>
      </w:r>
    </w:p>
    <w:p w:rsidR="000874D6" w:rsidRPr="002878D9" w:rsidRDefault="000874D6" w:rsidP="00901C6B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color w:val="222222"/>
          <w:sz w:val="26"/>
          <w:szCs w:val="26"/>
        </w:rPr>
        <w:t>Assurer que les bonnes pratiques</w:t>
      </w:r>
      <w:r w:rsidR="00F830CF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soient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="00F830CF" w:rsidRPr="002878D9">
        <w:rPr>
          <w:rFonts w:asciiTheme="majorHAnsi" w:hAnsiTheme="majorHAnsi" w:cstheme="majorHAnsi"/>
          <w:color w:val="222222"/>
          <w:sz w:val="26"/>
          <w:szCs w:val="26"/>
        </w:rPr>
        <w:t>observées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lors de la distribution du Mectizan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sym w:font="Symbol" w:char="F0D2"/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en association avec </w:t>
      </w:r>
      <w:proofErr w:type="spellStart"/>
      <w:r w:rsidRPr="002878D9">
        <w:rPr>
          <w:rFonts w:asciiTheme="majorHAnsi" w:hAnsiTheme="majorHAnsi" w:cstheme="majorHAnsi"/>
          <w:color w:val="222222"/>
          <w:sz w:val="26"/>
          <w:szCs w:val="26"/>
        </w:rPr>
        <w:t>Alb</w:t>
      </w:r>
      <w:r w:rsidR="002878D9">
        <w:rPr>
          <w:rFonts w:asciiTheme="majorHAnsi" w:hAnsiTheme="majorHAnsi" w:cstheme="majorHAnsi"/>
          <w:color w:val="222222"/>
          <w:sz w:val="26"/>
          <w:szCs w:val="26"/>
        </w:rPr>
        <w:t>endazole</w:t>
      </w:r>
      <w:proofErr w:type="spellEnd"/>
      <w:r w:rsidR="002878D9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et DEC, à savoir que:</w:t>
      </w:r>
    </w:p>
    <w:p w:rsidR="00901C6B" w:rsidRPr="002878D9" w:rsidRDefault="007A6109" w:rsidP="0000404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color w:val="222222"/>
          <w:sz w:val="26"/>
          <w:szCs w:val="26"/>
        </w:rPr>
      </w:pP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Le tableau ci-dessous </w:t>
      </w:r>
      <w:r w:rsidR="002878D9">
        <w:rPr>
          <w:rFonts w:asciiTheme="majorHAnsi" w:hAnsiTheme="majorHAnsi" w:cstheme="majorHAnsi"/>
          <w:color w:val="222222"/>
          <w:sz w:val="26"/>
          <w:szCs w:val="26"/>
        </w:rPr>
        <w:t>soit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utilisé pour administrer le Mectizan aux personnes éligibles (la taille ou le poids peuvent être utilisés</w:t>
      </w:r>
      <w:r w:rsidR="006D5419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pour estimer le nombre de comprimés</w:t>
      </w:r>
      <w:r w:rsidR="002878D9">
        <w:rPr>
          <w:rFonts w:asciiTheme="majorHAnsi" w:hAnsiTheme="majorHAnsi" w:cstheme="majorHAnsi"/>
          <w:color w:val="222222"/>
          <w:sz w:val="26"/>
          <w:szCs w:val="26"/>
        </w:rPr>
        <w:t xml:space="preserve"> à administrer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>)</w:t>
      </w:r>
    </w:p>
    <w:tbl>
      <w:tblPr>
        <w:tblW w:w="4431" w:type="pct"/>
        <w:tblInd w:w="802" w:type="dxa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223"/>
        <w:gridCol w:w="4073"/>
        <w:gridCol w:w="2224"/>
      </w:tblGrid>
      <w:tr w:rsidR="00901C6B" w:rsidRPr="002878D9" w:rsidTr="00464EFD">
        <w:trPr>
          <w:trHeight w:val="318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B24D6C" w:rsidP="004C1EBC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b/>
                <w:sz w:val="26"/>
                <w:szCs w:val="26"/>
              </w:rPr>
              <w:t>P</w:t>
            </w:r>
            <w:r w:rsidR="006D5419" w:rsidRPr="002878D9">
              <w:rPr>
                <w:rFonts w:asciiTheme="majorHAnsi" w:hAnsiTheme="majorHAnsi" w:cstheme="majorHAnsi"/>
                <w:b/>
                <w:sz w:val="26"/>
                <w:szCs w:val="26"/>
              </w:rPr>
              <w:t>oids</w:t>
            </w:r>
            <w:r w:rsidR="00901C6B" w:rsidRPr="002878D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2878D9">
              <w:rPr>
                <w:rFonts w:asciiTheme="majorHAnsi" w:hAnsiTheme="majorHAnsi" w:cstheme="majorHAnsi"/>
                <w:b/>
                <w:sz w:val="26"/>
                <w:szCs w:val="26"/>
              </w:rPr>
              <w:t>corporel</w:t>
            </w:r>
            <w:r w:rsidRPr="002878D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="00901C6B" w:rsidRPr="002878D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(kg)</w:t>
            </w:r>
          </w:p>
        </w:tc>
        <w:tc>
          <w:tcPr>
            <w:tcW w:w="2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6D5419" w:rsidP="002878D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878D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Nombre de comprimés de Mectizan </w:t>
            </w:r>
            <w:r w:rsidR="00901C6B" w:rsidRPr="002878D9">
              <w:rPr>
                <w:rFonts w:asciiTheme="majorHAnsi" w:hAnsiTheme="majorHAnsi" w:cstheme="majorHAnsi"/>
                <w:b/>
                <w:sz w:val="26"/>
                <w:szCs w:val="26"/>
              </w:rPr>
              <w:t>3 mg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B24D6C" w:rsidP="004C1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878D9">
              <w:rPr>
                <w:rFonts w:asciiTheme="majorHAnsi" w:hAnsiTheme="majorHAnsi" w:cstheme="majorHAnsi"/>
                <w:b/>
                <w:sz w:val="26"/>
                <w:szCs w:val="26"/>
              </w:rPr>
              <w:t>T</w:t>
            </w:r>
            <w:r w:rsidR="006D5419" w:rsidRPr="002878D9">
              <w:rPr>
                <w:rFonts w:asciiTheme="majorHAnsi" w:hAnsiTheme="majorHAnsi" w:cstheme="majorHAnsi"/>
                <w:b/>
                <w:sz w:val="26"/>
                <w:szCs w:val="26"/>
              </w:rPr>
              <w:t>aille</w:t>
            </w:r>
            <w:r w:rsidR="00901C6B" w:rsidRPr="002878D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(cm)</w:t>
            </w:r>
          </w:p>
        </w:tc>
      </w:tr>
      <w:tr w:rsidR="00901C6B" w:rsidRPr="002878D9" w:rsidTr="00464EFD">
        <w:trPr>
          <w:trHeight w:val="318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901C6B" w:rsidP="004C1EB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15-25</w:t>
            </w:r>
          </w:p>
        </w:tc>
        <w:tc>
          <w:tcPr>
            <w:tcW w:w="2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901C6B" w:rsidP="004C1EB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901C6B" w:rsidP="004C1EB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-112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90-119</w:t>
            </w:r>
          </w:p>
        </w:tc>
      </w:tr>
      <w:tr w:rsidR="00901C6B" w:rsidRPr="002878D9" w:rsidTr="00464EFD">
        <w:trPr>
          <w:trHeight w:val="381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901C6B" w:rsidP="004C1EB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26-44</w:t>
            </w:r>
          </w:p>
        </w:tc>
        <w:tc>
          <w:tcPr>
            <w:tcW w:w="2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901C6B" w:rsidP="004C1EB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901C6B" w:rsidP="004C1EB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120-140</w:t>
            </w:r>
          </w:p>
        </w:tc>
      </w:tr>
      <w:tr w:rsidR="00901C6B" w:rsidRPr="002878D9" w:rsidTr="00464EFD">
        <w:trPr>
          <w:trHeight w:val="2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901C6B" w:rsidP="004C1EB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45-64</w:t>
            </w:r>
          </w:p>
        </w:tc>
        <w:tc>
          <w:tcPr>
            <w:tcW w:w="2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901C6B" w:rsidP="004C1EB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901C6B" w:rsidP="004C1EB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141-158</w:t>
            </w:r>
          </w:p>
        </w:tc>
      </w:tr>
      <w:tr w:rsidR="00901C6B" w:rsidRPr="002878D9" w:rsidTr="00464EFD"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901C6B" w:rsidP="00F6704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65 </w:t>
            </w:r>
            <w:r w:rsidR="00F67042"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et plus</w:t>
            </w:r>
          </w:p>
        </w:tc>
        <w:tc>
          <w:tcPr>
            <w:tcW w:w="2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901C6B" w:rsidP="004C1EB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6B" w:rsidRPr="002878D9" w:rsidRDefault="00F67042" w:rsidP="002878D9">
            <w:pPr>
              <w:pStyle w:val="ListParagraph"/>
              <w:numPr>
                <w:ilvl w:val="0"/>
                <w:numId w:val="7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878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et plus</w:t>
            </w:r>
          </w:p>
        </w:tc>
      </w:tr>
    </w:tbl>
    <w:p w:rsidR="00EE2E5D" w:rsidRPr="002878D9" w:rsidRDefault="00EE2E5D" w:rsidP="00EE2E5D">
      <w:pPr>
        <w:pStyle w:val="ListParagraph"/>
        <w:spacing w:line="360" w:lineRule="auto"/>
        <w:ind w:left="108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B24D6C" w:rsidRPr="002878D9" w:rsidRDefault="00B24D6C" w:rsidP="002878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color w:val="222222"/>
          <w:sz w:val="26"/>
          <w:szCs w:val="26"/>
        </w:rPr>
      </w:pPr>
      <w:r w:rsidRPr="002878D9">
        <w:rPr>
          <w:rFonts w:asciiTheme="majorHAnsi" w:hAnsiTheme="majorHAnsi" w:cstheme="majorHAnsi"/>
          <w:color w:val="222222"/>
          <w:sz w:val="26"/>
          <w:szCs w:val="26"/>
        </w:rPr>
        <w:t>Traitement directement observ</w:t>
      </w:r>
      <w:r w:rsidR="00FF1C5C" w:rsidRPr="002878D9">
        <w:rPr>
          <w:rFonts w:asciiTheme="majorHAnsi" w:hAnsiTheme="majorHAnsi" w:cstheme="majorHAnsi"/>
          <w:color w:val="222222"/>
          <w:sz w:val="26"/>
          <w:szCs w:val="26"/>
        </w:rPr>
        <w:t>é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(TDO</w:t>
      </w:r>
      <w:proofErr w:type="gramStart"/>
      <w:r w:rsidRPr="002878D9">
        <w:rPr>
          <w:rFonts w:asciiTheme="majorHAnsi" w:hAnsiTheme="majorHAnsi" w:cstheme="majorHAnsi"/>
          <w:color w:val="222222"/>
          <w:sz w:val="26"/>
          <w:szCs w:val="26"/>
        </w:rPr>
        <w:t>):</w:t>
      </w:r>
      <w:proofErr w:type="gramEnd"/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="00004044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assurer que chaque individu </w:t>
      </w:r>
      <w:r w:rsidR="00626F68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avale effectivement </w:t>
      </w:r>
      <w:r w:rsidR="00004044"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les 3 médicaments </w:t>
      </w:r>
      <w:r w:rsidR="00626F68" w:rsidRPr="002878D9">
        <w:rPr>
          <w:rFonts w:asciiTheme="majorHAnsi" w:hAnsiTheme="majorHAnsi" w:cstheme="majorHAnsi"/>
          <w:color w:val="222222"/>
          <w:sz w:val="26"/>
          <w:szCs w:val="26"/>
        </w:rPr>
        <w:t>qu’il reçoit</w:t>
      </w:r>
    </w:p>
    <w:p w:rsidR="00FF1C5C" w:rsidRPr="002878D9" w:rsidRDefault="00FF1C5C" w:rsidP="002878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color w:val="222222"/>
          <w:sz w:val="26"/>
          <w:szCs w:val="26"/>
        </w:rPr>
      </w:pP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Que les personnes suivantes </w:t>
      </w:r>
      <w:r w:rsidR="002878D9" w:rsidRPr="002878D9">
        <w:rPr>
          <w:rFonts w:asciiTheme="majorHAnsi" w:hAnsiTheme="majorHAnsi" w:cstheme="majorHAnsi"/>
          <w:b/>
          <w:color w:val="222222"/>
          <w:sz w:val="26"/>
          <w:szCs w:val="26"/>
        </w:rPr>
        <w:t>NE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reçoivent </w:t>
      </w:r>
      <w:r w:rsidR="002878D9" w:rsidRPr="002878D9">
        <w:rPr>
          <w:rFonts w:asciiTheme="majorHAnsi" w:hAnsiTheme="majorHAnsi" w:cstheme="majorHAnsi"/>
          <w:b/>
          <w:color w:val="222222"/>
          <w:sz w:val="26"/>
          <w:szCs w:val="26"/>
        </w:rPr>
        <w:t>PAS</w:t>
      </w:r>
      <w:r w:rsidRPr="002878D9">
        <w:rPr>
          <w:rFonts w:asciiTheme="majorHAnsi" w:hAnsiTheme="majorHAnsi" w:cstheme="majorHAnsi"/>
          <w:color w:val="222222"/>
          <w:sz w:val="26"/>
          <w:szCs w:val="26"/>
        </w:rPr>
        <w:t xml:space="preserve"> le traitement : </w:t>
      </w:r>
    </w:p>
    <w:p w:rsidR="00901C6B" w:rsidRPr="002878D9" w:rsidRDefault="00B1413E" w:rsidP="00901C6B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3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gramStart"/>
      <w:r w:rsidRPr="002878D9">
        <w:rPr>
          <w:rFonts w:asciiTheme="majorHAnsi" w:hAnsiTheme="majorHAnsi" w:cstheme="majorHAnsi"/>
          <w:sz w:val="26"/>
          <w:szCs w:val="26"/>
        </w:rPr>
        <w:t>le</w:t>
      </w:r>
      <w:r w:rsidR="00AF7F54" w:rsidRPr="002878D9">
        <w:rPr>
          <w:rFonts w:asciiTheme="majorHAnsi" w:hAnsiTheme="majorHAnsi" w:cstheme="majorHAnsi"/>
          <w:sz w:val="26"/>
          <w:szCs w:val="26"/>
        </w:rPr>
        <w:t>s</w:t>
      </w:r>
      <w:proofErr w:type="gramEnd"/>
      <w:r w:rsidR="00AF7F54" w:rsidRPr="002878D9">
        <w:rPr>
          <w:rFonts w:asciiTheme="majorHAnsi" w:hAnsiTheme="majorHAnsi" w:cstheme="majorHAnsi"/>
          <w:sz w:val="26"/>
          <w:szCs w:val="26"/>
        </w:rPr>
        <w:t xml:space="preserve"> enfants pesant moins de 15 kg ou ayant une taille </w:t>
      </w:r>
      <w:r w:rsidR="00067167" w:rsidRPr="002878D9">
        <w:rPr>
          <w:rFonts w:asciiTheme="majorHAnsi" w:hAnsiTheme="majorHAnsi" w:cstheme="majorHAnsi"/>
          <w:sz w:val="26"/>
          <w:szCs w:val="26"/>
        </w:rPr>
        <w:t>inférieure</w:t>
      </w:r>
      <w:r w:rsidR="00AF7F54" w:rsidRPr="002878D9">
        <w:rPr>
          <w:rFonts w:asciiTheme="majorHAnsi" w:hAnsiTheme="majorHAnsi" w:cstheme="majorHAnsi"/>
          <w:sz w:val="26"/>
          <w:szCs w:val="26"/>
        </w:rPr>
        <w:t xml:space="preserve"> </w:t>
      </w:r>
      <w:r w:rsidR="00067167" w:rsidRPr="002878D9">
        <w:rPr>
          <w:rFonts w:asciiTheme="majorHAnsi" w:hAnsiTheme="majorHAnsi" w:cstheme="majorHAnsi"/>
          <w:sz w:val="26"/>
          <w:szCs w:val="26"/>
        </w:rPr>
        <w:t xml:space="preserve">à </w:t>
      </w:r>
      <w:r w:rsidR="00AF7F54" w:rsidRPr="002878D9">
        <w:rPr>
          <w:rFonts w:asciiTheme="majorHAnsi" w:hAnsiTheme="majorHAnsi" w:cstheme="majorHAnsi"/>
          <w:sz w:val="26"/>
          <w:szCs w:val="26"/>
        </w:rPr>
        <w:t xml:space="preserve">90 cm; </w:t>
      </w:r>
    </w:p>
    <w:p w:rsidR="00B1413E" w:rsidRPr="002878D9" w:rsidRDefault="00B1413E" w:rsidP="00901C6B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3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gramStart"/>
      <w:r w:rsidRPr="002878D9">
        <w:rPr>
          <w:rFonts w:asciiTheme="majorHAnsi" w:hAnsiTheme="majorHAnsi" w:cstheme="majorHAnsi"/>
          <w:sz w:val="26"/>
          <w:szCs w:val="26"/>
        </w:rPr>
        <w:t>les</w:t>
      </w:r>
      <w:proofErr w:type="gramEnd"/>
      <w:r w:rsidRPr="002878D9">
        <w:rPr>
          <w:rFonts w:asciiTheme="majorHAnsi" w:hAnsiTheme="majorHAnsi" w:cstheme="majorHAnsi"/>
          <w:sz w:val="26"/>
          <w:szCs w:val="26"/>
        </w:rPr>
        <w:t xml:space="preserve"> femmes enceintes</w:t>
      </w:r>
    </w:p>
    <w:p w:rsidR="00B1413E" w:rsidRPr="002878D9" w:rsidRDefault="00B1413E" w:rsidP="00B1413E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3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gramStart"/>
      <w:r w:rsidRPr="002878D9">
        <w:rPr>
          <w:rFonts w:asciiTheme="majorHAnsi" w:hAnsiTheme="majorHAnsi" w:cstheme="majorHAnsi"/>
          <w:sz w:val="26"/>
          <w:szCs w:val="26"/>
        </w:rPr>
        <w:t>les</w:t>
      </w:r>
      <w:proofErr w:type="gramEnd"/>
      <w:r w:rsidRPr="002878D9">
        <w:rPr>
          <w:rFonts w:asciiTheme="majorHAnsi" w:hAnsiTheme="majorHAnsi" w:cstheme="majorHAnsi"/>
          <w:sz w:val="26"/>
          <w:szCs w:val="26"/>
        </w:rPr>
        <w:t xml:space="preserve"> femmes qui allaitent des </w:t>
      </w:r>
      <w:r w:rsidR="002878D9">
        <w:rPr>
          <w:rFonts w:asciiTheme="majorHAnsi" w:hAnsiTheme="majorHAnsi" w:cstheme="majorHAnsi"/>
          <w:sz w:val="26"/>
          <w:szCs w:val="26"/>
        </w:rPr>
        <w:t>nouveau-nés</w:t>
      </w:r>
      <w:r w:rsidRPr="002878D9">
        <w:rPr>
          <w:rFonts w:asciiTheme="majorHAnsi" w:hAnsiTheme="majorHAnsi" w:cstheme="majorHAnsi"/>
          <w:sz w:val="26"/>
          <w:szCs w:val="26"/>
        </w:rPr>
        <w:t xml:space="preserve"> âgés de moins d'une semaine</w:t>
      </w:r>
    </w:p>
    <w:p w:rsidR="00B1413E" w:rsidRPr="002878D9" w:rsidRDefault="002878D9" w:rsidP="00B1413E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03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>
        <w:rPr>
          <w:rFonts w:asciiTheme="majorHAnsi" w:hAnsiTheme="majorHAnsi" w:cstheme="majorHAnsi"/>
          <w:sz w:val="26"/>
          <w:szCs w:val="26"/>
        </w:rPr>
        <w:t>les</w:t>
      </w:r>
      <w:proofErr w:type="gramEnd"/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B1413E" w:rsidRPr="002878D9">
        <w:rPr>
          <w:rFonts w:asciiTheme="majorHAnsi" w:hAnsiTheme="majorHAnsi" w:cstheme="majorHAnsi"/>
          <w:sz w:val="26"/>
          <w:szCs w:val="26"/>
        </w:rPr>
        <w:t>personnes atteintes de maladies graves de nature aiguë ou chronique</w:t>
      </w:r>
      <w:r>
        <w:rPr>
          <w:rFonts w:asciiTheme="majorHAnsi" w:hAnsiTheme="majorHAnsi" w:cstheme="majorHAnsi"/>
          <w:sz w:val="26"/>
          <w:szCs w:val="26"/>
        </w:rPr>
        <w:t xml:space="preserve"> en cours d’évolution</w:t>
      </w:r>
    </w:p>
    <w:p w:rsidR="00067167" w:rsidRPr="002878D9" w:rsidRDefault="002878D9" w:rsidP="00067167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03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>
        <w:rPr>
          <w:rFonts w:asciiTheme="majorHAnsi" w:hAnsiTheme="majorHAnsi" w:cstheme="majorHAnsi"/>
          <w:sz w:val="26"/>
          <w:szCs w:val="26"/>
        </w:rPr>
        <w:t>les</w:t>
      </w:r>
      <w:proofErr w:type="gramEnd"/>
      <w:r w:rsidR="00B1413E" w:rsidRPr="002878D9">
        <w:rPr>
          <w:rFonts w:asciiTheme="majorHAnsi" w:hAnsiTheme="majorHAnsi" w:cstheme="majorHAnsi"/>
          <w:sz w:val="26"/>
          <w:szCs w:val="26"/>
        </w:rPr>
        <w:t xml:space="preserve"> </w:t>
      </w:r>
      <w:r w:rsidR="00067167" w:rsidRPr="002878D9">
        <w:rPr>
          <w:rFonts w:asciiTheme="majorHAnsi" w:hAnsiTheme="majorHAnsi" w:cstheme="majorHAnsi"/>
          <w:sz w:val="26"/>
          <w:szCs w:val="26"/>
        </w:rPr>
        <w:t>personnes ayant des antécédents d’hypersensibilité à une composante de l'IDA</w:t>
      </w:r>
    </w:p>
    <w:p w:rsidR="00901C6B" w:rsidRPr="002878D9" w:rsidRDefault="00067167" w:rsidP="002878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color w:val="222222"/>
          <w:sz w:val="26"/>
          <w:szCs w:val="26"/>
        </w:rPr>
        <w:t>Prendre des dispositions pour s'assurer que les personnes éligibles qui ne sont pas</w:t>
      </w:r>
      <w:r w:rsidRPr="002878D9">
        <w:rPr>
          <w:rFonts w:asciiTheme="majorHAnsi" w:hAnsiTheme="majorHAnsi" w:cstheme="majorHAnsi"/>
          <w:sz w:val="26"/>
          <w:szCs w:val="26"/>
        </w:rPr>
        <w:t xml:space="preserve"> traitées lors de cette visite, se fassent traiter dès que c’est possible</w:t>
      </w:r>
      <w:r w:rsidR="00901C6B" w:rsidRPr="002878D9">
        <w:rPr>
          <w:rFonts w:asciiTheme="majorHAnsi" w:hAnsiTheme="majorHAnsi" w:cstheme="majorHAnsi"/>
          <w:sz w:val="26"/>
          <w:szCs w:val="26"/>
        </w:rPr>
        <w:t>.</w:t>
      </w:r>
    </w:p>
    <w:p w:rsidR="00901C6B" w:rsidRPr="002878D9" w:rsidRDefault="002878D9" w:rsidP="002878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</w:t>
      </w:r>
      <w:r w:rsidR="00067167" w:rsidRPr="002878D9">
        <w:rPr>
          <w:rFonts w:asciiTheme="majorHAnsi" w:hAnsiTheme="majorHAnsi" w:cstheme="majorHAnsi"/>
          <w:sz w:val="26"/>
          <w:szCs w:val="26"/>
        </w:rPr>
        <w:t>es registres adéquats des sujets traités sont bien conservés</w:t>
      </w:r>
      <w:r w:rsidR="00901C6B" w:rsidRPr="002878D9">
        <w:rPr>
          <w:rFonts w:asciiTheme="majorHAnsi" w:hAnsiTheme="majorHAnsi" w:cstheme="majorHAnsi"/>
          <w:sz w:val="26"/>
          <w:szCs w:val="26"/>
        </w:rPr>
        <w:t>.</w:t>
      </w:r>
    </w:p>
    <w:p w:rsidR="002878D9" w:rsidRDefault="00394DCD" w:rsidP="002878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sz w:val="26"/>
          <w:szCs w:val="26"/>
        </w:rPr>
        <w:lastRenderedPageBreak/>
        <w:t>Assurer que le système de monitorage et de surveillance appropriées des événements indésirables liés à l'IDA (EI) soient mises en place dans les communautés sous traitement de masse.</w:t>
      </w:r>
    </w:p>
    <w:p w:rsidR="00394DCD" w:rsidRPr="002878D9" w:rsidRDefault="00394DCD" w:rsidP="002878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sz w:val="26"/>
          <w:szCs w:val="26"/>
        </w:rPr>
        <w:t>Que le personnel de santé soit formé pour gérer tous les cas d'événements indésirables liés à l'IDA pouvant survenir après traitement de masse.</w:t>
      </w:r>
    </w:p>
    <w:p w:rsidR="00394DCD" w:rsidRPr="002878D9" w:rsidRDefault="00E65859" w:rsidP="002878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sz w:val="26"/>
          <w:szCs w:val="26"/>
        </w:rPr>
        <w:t xml:space="preserve">Que les services de santé soient bien équipés pour assurer la gestion </w:t>
      </w:r>
      <w:proofErr w:type="gramStart"/>
      <w:r w:rsidRPr="002878D9">
        <w:rPr>
          <w:rFonts w:asciiTheme="majorHAnsi" w:hAnsiTheme="majorHAnsi" w:cstheme="majorHAnsi"/>
          <w:sz w:val="26"/>
          <w:szCs w:val="26"/>
        </w:rPr>
        <w:t>adéquate</w:t>
      </w:r>
      <w:proofErr w:type="gramEnd"/>
      <w:r w:rsidRPr="002878D9">
        <w:rPr>
          <w:rFonts w:asciiTheme="majorHAnsi" w:hAnsiTheme="majorHAnsi" w:cstheme="majorHAnsi"/>
          <w:sz w:val="26"/>
          <w:szCs w:val="26"/>
        </w:rPr>
        <w:t xml:space="preserve"> et gratuite de tous cas d’effets indésirables pouvant survenir après le traitement de masse à l'IDA.</w:t>
      </w:r>
    </w:p>
    <w:p w:rsidR="00F64F56" w:rsidRPr="002878D9" w:rsidRDefault="00F64F56" w:rsidP="002878D9">
      <w:pPr>
        <w:pStyle w:val="ListParagraph"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sz w:val="26"/>
          <w:szCs w:val="26"/>
        </w:rPr>
        <w:t>Un rapport de cas d’effet indésirable grave (EIG) est établi et soumis au Programme de Don de Mectizan (Mectizan@mectizan.org) pour chaque patient identifié comme ayant eu un événement indésirable lié à l'IDA, ou possiblement associé à l'IDA.</w:t>
      </w:r>
    </w:p>
    <w:p w:rsidR="00F64F56" w:rsidRPr="002878D9" w:rsidRDefault="00F64F56" w:rsidP="002878D9">
      <w:pPr>
        <w:pStyle w:val="ListParagraph"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sz w:val="26"/>
          <w:szCs w:val="26"/>
        </w:rPr>
        <w:t xml:space="preserve">Tout comprimé périmé doit être incinéré. </w:t>
      </w:r>
    </w:p>
    <w:p w:rsidR="00F64F56" w:rsidRPr="002878D9" w:rsidRDefault="00F64F56" w:rsidP="002878D9">
      <w:pPr>
        <w:pStyle w:val="ListParagraph"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sz w:val="26"/>
          <w:szCs w:val="26"/>
        </w:rPr>
        <w:t>Présenter tous les ans, un rapport d'inventaire sur l’utilisation des comprimés de Mectizan® reçu</w:t>
      </w:r>
      <w:r w:rsidR="006F2611" w:rsidRPr="002878D9">
        <w:rPr>
          <w:rFonts w:asciiTheme="majorHAnsi" w:hAnsiTheme="majorHAnsi" w:cstheme="majorHAnsi"/>
          <w:sz w:val="26"/>
          <w:szCs w:val="26"/>
        </w:rPr>
        <w:t>s,</w:t>
      </w:r>
      <w:r w:rsidRPr="002878D9">
        <w:rPr>
          <w:rFonts w:asciiTheme="majorHAnsi" w:hAnsiTheme="majorHAnsi" w:cstheme="majorHAnsi"/>
          <w:sz w:val="26"/>
          <w:szCs w:val="26"/>
        </w:rPr>
        <w:t xml:space="preserve"> au Programme de Don de Mectizan (Mectizan@mectizan.org) </w:t>
      </w:r>
    </w:p>
    <w:p w:rsidR="006F2611" w:rsidRDefault="006F2611" w:rsidP="002878D9">
      <w:pPr>
        <w:pStyle w:val="ListParagraph"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sz w:val="26"/>
          <w:szCs w:val="26"/>
        </w:rPr>
        <w:t xml:space="preserve">Soumettre un rapport annuel à l'OMS avec copie au </w:t>
      </w:r>
      <w:r w:rsidR="002878D9">
        <w:rPr>
          <w:rFonts w:asciiTheme="majorHAnsi" w:hAnsiTheme="majorHAnsi" w:cstheme="majorHAnsi"/>
          <w:sz w:val="26"/>
          <w:szCs w:val="26"/>
        </w:rPr>
        <w:t>Programme de Don de Mectizan</w:t>
      </w:r>
      <w:r w:rsidRPr="002878D9">
        <w:rPr>
          <w:rFonts w:asciiTheme="majorHAnsi" w:hAnsiTheme="majorHAnsi" w:cstheme="majorHAnsi"/>
          <w:sz w:val="26"/>
          <w:szCs w:val="26"/>
        </w:rPr>
        <w:t xml:space="preserve"> détaillant les traitements administrés, les données épidémiologiques et </w:t>
      </w:r>
      <w:proofErr w:type="spellStart"/>
      <w:r w:rsidRPr="002878D9">
        <w:rPr>
          <w:rFonts w:asciiTheme="majorHAnsi" w:hAnsiTheme="majorHAnsi" w:cstheme="majorHAnsi"/>
          <w:sz w:val="26"/>
          <w:szCs w:val="26"/>
        </w:rPr>
        <w:t>parasitologiques</w:t>
      </w:r>
      <w:proofErr w:type="spellEnd"/>
      <w:r w:rsidRPr="002878D9">
        <w:rPr>
          <w:rFonts w:asciiTheme="majorHAnsi" w:hAnsiTheme="majorHAnsi" w:cstheme="majorHAnsi"/>
          <w:sz w:val="26"/>
          <w:szCs w:val="26"/>
        </w:rPr>
        <w:t>, comme l'exige l'OMS</w:t>
      </w:r>
    </w:p>
    <w:p w:rsidR="002878D9" w:rsidRPr="002878D9" w:rsidRDefault="002878D9" w:rsidP="002878D9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1800"/>
        <w:jc w:val="both"/>
        <w:rPr>
          <w:rFonts w:asciiTheme="majorHAnsi" w:hAnsiTheme="majorHAnsi" w:cstheme="majorHAnsi"/>
          <w:sz w:val="26"/>
          <w:szCs w:val="26"/>
        </w:rPr>
      </w:pPr>
    </w:p>
    <w:p w:rsidR="006F2611" w:rsidRPr="002878D9" w:rsidRDefault="006F2611" w:rsidP="006F261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2878D9">
        <w:rPr>
          <w:rFonts w:asciiTheme="majorHAnsi" w:hAnsiTheme="majorHAnsi" w:cstheme="majorHAnsi"/>
          <w:b/>
          <w:sz w:val="26"/>
          <w:szCs w:val="26"/>
        </w:rPr>
        <w:t>Lu et approuvé par, au nom de l’institution faisant la demande :</w:t>
      </w:r>
    </w:p>
    <w:bookmarkStart w:id="2" w:name="Text706"/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706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2"/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bookmarkStart w:id="3" w:name="Text707"/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707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3"/>
    </w:p>
    <w:p w:rsidR="00901C6B" w:rsidRPr="002878D9" w:rsidRDefault="00901C6B" w:rsidP="006F261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-360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sz w:val="26"/>
          <w:szCs w:val="26"/>
        </w:rPr>
        <w:t xml:space="preserve">Signature </w:t>
      </w:r>
      <w:r w:rsidR="006F2611" w:rsidRPr="002878D9">
        <w:rPr>
          <w:rFonts w:asciiTheme="majorHAnsi" w:hAnsiTheme="majorHAnsi" w:cstheme="majorHAnsi"/>
          <w:sz w:val="26"/>
          <w:szCs w:val="26"/>
        </w:rPr>
        <w:t>du coordinateur National</w:t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  <w:t xml:space="preserve">Signature </w:t>
      </w:r>
      <w:r w:rsidR="006F2611" w:rsidRPr="002878D9">
        <w:rPr>
          <w:rFonts w:asciiTheme="majorHAnsi" w:hAnsiTheme="majorHAnsi" w:cstheme="majorHAnsi"/>
          <w:sz w:val="26"/>
          <w:szCs w:val="26"/>
        </w:rPr>
        <w:t>du Ministre de la santé ou délégué</w:t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</w:p>
    <w:p w:rsidR="00901C6B" w:rsidRPr="002878D9" w:rsidRDefault="006F2611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sz w:val="26"/>
          <w:szCs w:val="26"/>
        </w:rPr>
        <w:lastRenderedPageBreak/>
        <w:t>Nom</w:t>
      </w:r>
      <w:r w:rsidR="00901C6B" w:rsidRPr="002878D9">
        <w:rPr>
          <w:rFonts w:asciiTheme="majorHAnsi" w:hAnsiTheme="majorHAnsi" w:cstheme="majorHAnsi"/>
          <w:sz w:val="26"/>
          <w:szCs w:val="26"/>
        </w:rPr>
        <w:t xml:space="preserve"> (</w:t>
      </w:r>
      <w:r w:rsidRPr="002878D9">
        <w:rPr>
          <w:rFonts w:asciiTheme="majorHAnsi" w:hAnsiTheme="majorHAnsi" w:cstheme="majorHAnsi"/>
          <w:sz w:val="26"/>
          <w:szCs w:val="26"/>
        </w:rPr>
        <w:t>En majuscule</w:t>
      </w:r>
      <w:r w:rsidR="00901C6B" w:rsidRPr="002878D9">
        <w:rPr>
          <w:rFonts w:asciiTheme="majorHAnsi" w:hAnsiTheme="majorHAnsi" w:cstheme="majorHAnsi"/>
          <w:sz w:val="26"/>
          <w:szCs w:val="26"/>
        </w:rPr>
        <w:t>)</w:t>
      </w:r>
      <w:r w:rsidR="00901C6B"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="00901C6B" w:rsidRPr="002878D9">
        <w:rPr>
          <w:rFonts w:asciiTheme="majorHAnsi" w:hAnsiTheme="majorHAnsi" w:cstheme="majorHAnsi"/>
          <w:sz w:val="26"/>
          <w:szCs w:val="26"/>
        </w:rPr>
        <w:tab/>
      </w:r>
      <w:r w:rsidR="00901C6B" w:rsidRPr="002878D9">
        <w:rPr>
          <w:rFonts w:asciiTheme="majorHAnsi" w:hAnsiTheme="majorHAnsi" w:cstheme="majorHAnsi"/>
          <w:sz w:val="26"/>
          <w:szCs w:val="26"/>
        </w:rPr>
        <w:tab/>
      </w:r>
      <w:r w:rsidR="00901C6B"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>Nom</w:t>
      </w:r>
      <w:r w:rsidR="00901C6B" w:rsidRPr="002878D9">
        <w:rPr>
          <w:rFonts w:asciiTheme="majorHAnsi" w:hAnsiTheme="majorHAnsi" w:cstheme="majorHAnsi"/>
          <w:sz w:val="26"/>
          <w:szCs w:val="26"/>
        </w:rPr>
        <w:t xml:space="preserve"> (</w:t>
      </w:r>
      <w:r w:rsidRPr="002878D9">
        <w:rPr>
          <w:rFonts w:asciiTheme="majorHAnsi" w:hAnsiTheme="majorHAnsi" w:cstheme="majorHAnsi"/>
          <w:sz w:val="26"/>
          <w:szCs w:val="26"/>
        </w:rPr>
        <w:t>En majuscule)</w:t>
      </w:r>
      <w:r w:rsidR="00901C6B" w:rsidRPr="002878D9">
        <w:rPr>
          <w:rFonts w:asciiTheme="majorHAnsi" w:hAnsiTheme="majorHAnsi" w:cstheme="majorHAnsi"/>
          <w:sz w:val="26"/>
          <w:szCs w:val="26"/>
        </w:rPr>
        <w:t>)</w:t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sz w:val="26"/>
          <w:szCs w:val="26"/>
        </w:rPr>
        <w:t>Date (</w:t>
      </w:r>
      <w:r w:rsidR="006F2611" w:rsidRPr="002878D9">
        <w:rPr>
          <w:rFonts w:asciiTheme="majorHAnsi" w:hAnsiTheme="majorHAnsi" w:cstheme="majorHAnsi"/>
          <w:sz w:val="26"/>
          <w:szCs w:val="26"/>
        </w:rPr>
        <w:t>Jour/Mois/Année)</w:t>
      </w:r>
      <w:r w:rsidR="006F2611" w:rsidRPr="002878D9">
        <w:rPr>
          <w:rFonts w:asciiTheme="majorHAnsi" w:hAnsiTheme="majorHAnsi" w:cstheme="majorHAnsi"/>
          <w:sz w:val="26"/>
          <w:szCs w:val="26"/>
        </w:rPr>
        <w:tab/>
      </w:r>
      <w:r w:rsidR="006F2611" w:rsidRPr="002878D9">
        <w:rPr>
          <w:rFonts w:asciiTheme="majorHAnsi" w:hAnsiTheme="majorHAnsi" w:cstheme="majorHAnsi"/>
          <w:sz w:val="26"/>
          <w:szCs w:val="26"/>
        </w:rPr>
        <w:tab/>
      </w:r>
      <w:r w:rsidR="006F2611" w:rsidRPr="002878D9">
        <w:rPr>
          <w:rFonts w:asciiTheme="majorHAnsi" w:hAnsiTheme="majorHAnsi" w:cstheme="majorHAnsi"/>
          <w:sz w:val="26"/>
          <w:szCs w:val="26"/>
        </w:rPr>
        <w:tab/>
      </w:r>
      <w:r w:rsidR="006F2611" w:rsidRPr="002878D9">
        <w:rPr>
          <w:rFonts w:asciiTheme="majorHAnsi" w:hAnsiTheme="majorHAnsi" w:cstheme="majorHAnsi"/>
          <w:sz w:val="26"/>
          <w:szCs w:val="26"/>
        </w:rPr>
        <w:tab/>
        <w:t>Titre</w:t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proofErr w:type="spellStart"/>
      <w:r w:rsidRPr="002878D9">
        <w:rPr>
          <w:rFonts w:asciiTheme="majorHAnsi" w:hAnsiTheme="majorHAnsi" w:cstheme="majorHAnsi"/>
          <w:sz w:val="26"/>
          <w:szCs w:val="26"/>
          <w:lang w:val="en-US"/>
        </w:rPr>
        <w:t>Address</w:t>
      </w:r>
      <w:r w:rsidR="006F2611" w:rsidRPr="002878D9">
        <w:rPr>
          <w:rFonts w:asciiTheme="majorHAnsi" w:hAnsiTheme="majorHAnsi" w:cstheme="majorHAnsi"/>
          <w:sz w:val="26"/>
          <w:szCs w:val="26"/>
          <w:lang w:val="en-US"/>
        </w:rPr>
        <w:t>e</w:t>
      </w:r>
      <w:proofErr w:type="spellEnd"/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="006F2611" w:rsidRPr="002878D9">
        <w:rPr>
          <w:rFonts w:asciiTheme="majorHAnsi" w:hAnsiTheme="majorHAnsi" w:cstheme="majorHAnsi"/>
          <w:sz w:val="26"/>
          <w:szCs w:val="26"/>
          <w:lang w:val="en-US"/>
        </w:rPr>
        <w:t>Ville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="006F2611" w:rsidRPr="002878D9">
        <w:rPr>
          <w:rFonts w:asciiTheme="majorHAnsi" w:hAnsiTheme="majorHAnsi" w:cstheme="majorHAnsi"/>
          <w:sz w:val="26"/>
          <w:szCs w:val="26"/>
          <w:lang w:val="en-US"/>
        </w:rPr>
        <w:t>Region/</w:t>
      </w:r>
      <w:proofErr w:type="spellStart"/>
      <w:r w:rsidR="006F2611" w:rsidRPr="002878D9">
        <w:rPr>
          <w:rFonts w:asciiTheme="majorHAnsi" w:hAnsiTheme="majorHAnsi" w:cstheme="majorHAnsi"/>
          <w:sz w:val="26"/>
          <w:szCs w:val="26"/>
          <w:lang w:val="en-US"/>
        </w:rPr>
        <w:t>Etat</w:t>
      </w:r>
      <w:proofErr w:type="spellEnd"/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="006F2611" w:rsidRPr="002878D9">
        <w:rPr>
          <w:rFonts w:asciiTheme="majorHAnsi" w:hAnsiTheme="majorHAnsi" w:cstheme="majorHAnsi"/>
          <w:sz w:val="26"/>
          <w:szCs w:val="26"/>
          <w:lang w:val="en-US"/>
        </w:rPr>
        <w:t>Pays</w:t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="006F2611"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="006F2611" w:rsidRPr="002878D9">
        <w:rPr>
          <w:rFonts w:asciiTheme="majorHAnsi" w:hAnsiTheme="majorHAnsi" w:cstheme="majorHAnsi"/>
          <w:sz w:val="26"/>
          <w:szCs w:val="26"/>
        </w:rPr>
        <w:t>Numéro de téléphone</w:t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="006F2611" w:rsidRPr="002878D9">
        <w:rPr>
          <w:rFonts w:asciiTheme="majorHAnsi" w:hAnsiTheme="majorHAnsi" w:cstheme="majorHAnsi"/>
          <w:sz w:val="26"/>
          <w:szCs w:val="26"/>
        </w:rPr>
        <w:tab/>
        <w:t>Numéro de Fax</w:t>
      </w:r>
      <w:r w:rsidRPr="002878D9">
        <w:rPr>
          <w:rFonts w:asciiTheme="majorHAnsi" w:hAnsiTheme="majorHAnsi" w:cstheme="majorHAnsi"/>
          <w:sz w:val="26"/>
          <w:szCs w:val="26"/>
        </w:rPr>
        <w:t xml:space="preserve"> </w:t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  <w:t>E-Mail</w:t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instrText xml:space="preserve"> FORMTEXT </w:instrText>
      </w:r>
      <w:r w:rsidRPr="002878D9">
        <w:rPr>
          <w:rFonts w:asciiTheme="majorHAnsi" w:hAnsiTheme="majorHAnsi" w:cstheme="majorHAnsi"/>
          <w:sz w:val="26"/>
          <w:szCs w:val="26"/>
          <w:lang w:val="en-US"/>
        </w:rPr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> </w:t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r w:rsidRPr="002878D9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901C6B" w:rsidRPr="002878D9" w:rsidRDefault="00901C6B" w:rsidP="00901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  <w:t>Date (</w:t>
      </w:r>
      <w:r w:rsidR="006F2611" w:rsidRPr="002878D9">
        <w:rPr>
          <w:rFonts w:asciiTheme="majorHAnsi" w:hAnsiTheme="majorHAnsi" w:cstheme="majorHAnsi"/>
          <w:sz w:val="26"/>
          <w:szCs w:val="26"/>
        </w:rPr>
        <w:t>Jour/Mois/Année</w:t>
      </w:r>
      <w:r w:rsidRPr="002878D9">
        <w:rPr>
          <w:rFonts w:asciiTheme="majorHAnsi" w:hAnsiTheme="majorHAnsi" w:cstheme="majorHAnsi"/>
          <w:sz w:val="26"/>
          <w:szCs w:val="26"/>
        </w:rPr>
        <w:t>)</w:t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  <w:r w:rsidRPr="002878D9">
        <w:rPr>
          <w:rFonts w:asciiTheme="majorHAnsi" w:hAnsiTheme="majorHAnsi" w:cstheme="majorHAnsi"/>
          <w:sz w:val="26"/>
          <w:szCs w:val="26"/>
        </w:rPr>
        <w:tab/>
      </w:r>
    </w:p>
    <w:sectPr w:rsidR="00901C6B" w:rsidRPr="002878D9" w:rsidSect="0059696D">
      <w:footerReference w:type="even" r:id="rId8"/>
      <w:footerReference w:type="default" r:id="rId9"/>
      <w:headerReference w:type="first" r:id="rId10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56" w:rsidRDefault="00F27F56" w:rsidP="001A6EC9">
      <w:r>
        <w:separator/>
      </w:r>
    </w:p>
  </w:endnote>
  <w:endnote w:type="continuationSeparator" w:id="0">
    <w:p w:rsidR="00F27F56" w:rsidRDefault="00F27F56" w:rsidP="001A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113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EFD" w:rsidRDefault="00464EFD" w:rsidP="00464E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5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313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DD4" w:rsidRDefault="00251D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8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DD4" w:rsidRDefault="0025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56" w:rsidRDefault="00F27F56" w:rsidP="001A6EC9">
      <w:r>
        <w:separator/>
      </w:r>
    </w:p>
  </w:footnote>
  <w:footnote w:type="continuationSeparator" w:id="0">
    <w:p w:rsidR="00F27F56" w:rsidRDefault="00F27F56" w:rsidP="001A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D4" w:rsidRPr="00251DD4" w:rsidRDefault="00251DD4" w:rsidP="0059696D">
    <w:pPr>
      <w:pStyle w:val="Header"/>
      <w:tabs>
        <w:tab w:val="left" w:pos="9270"/>
      </w:tabs>
      <w:ind w:left="-630"/>
      <w:rPr>
        <w:rFonts w:asciiTheme="majorHAnsi" w:hAnsiTheme="majorHAnsi"/>
        <w:sz w:val="20"/>
        <w:lang w:val="en-US"/>
      </w:rPr>
    </w:pPr>
    <w:r>
      <w:rPr>
        <w:rFonts w:ascii="Calibri" w:hAnsi="Calibri" w:cs="Calibri"/>
        <w:b/>
        <w:bCs/>
        <w:noProof/>
        <w:color w:val="1F497D"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422910</wp:posOffset>
              </wp:positionV>
              <wp:extent cx="7772400" cy="15240"/>
              <wp:effectExtent l="0" t="0" r="1905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32317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3.3pt" to="61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" strokecolor="#5b9bd5 [3204]" strokeweight=".5pt">
              <v:stroke joinstyle="miter"/>
              <w10:wrap anchorx="page"/>
            </v:line>
          </w:pict>
        </mc:Fallback>
      </mc:AlternateContent>
    </w:r>
    <w:r w:rsidRPr="004E5525">
      <w:rPr>
        <w:rFonts w:ascii="Calibri" w:hAnsi="Calibri" w:cs="Calibri"/>
        <w:b/>
        <w:bCs/>
        <w:noProof/>
        <w:color w:val="1F497D"/>
        <w:sz w:val="22"/>
        <w:szCs w:val="22"/>
        <w:lang w:val="en-US"/>
      </w:rPr>
      <w:drawing>
        <wp:inline distT="0" distB="0" distL="0" distR="0" wp14:anchorId="1B6C9093" wp14:editId="2EF30915">
          <wp:extent cx="653779" cy="316230"/>
          <wp:effectExtent l="0" t="0" r="0" b="7620"/>
          <wp:docPr id="10" name="Picture 10" descr="MDP_Logo17_ColorGrad_New_071217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P_Logo17_ColorGrad_New_071217_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69" cy="32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1DD4">
      <w:rPr>
        <w:lang w:val="en-US"/>
      </w:rPr>
      <w:t xml:space="preserve"> </w:t>
    </w:r>
    <w:r w:rsidR="0059696D" w:rsidRPr="0059696D">
      <w:rPr>
        <w:rFonts w:asciiTheme="majorHAnsi" w:hAnsiTheme="majorHAnsi"/>
        <w:sz w:val="20"/>
        <w:lang w:val="en-US"/>
      </w:rPr>
      <w:t>Taskforce for Global Health</w:t>
    </w:r>
    <w:r w:rsidR="0059696D">
      <w:rPr>
        <w:lang w:val="en-US"/>
      </w:rPr>
      <w:t xml:space="preserve">, </w:t>
    </w:r>
    <w:r w:rsidRPr="00251DD4">
      <w:rPr>
        <w:rFonts w:asciiTheme="majorHAnsi" w:hAnsiTheme="majorHAnsi"/>
        <w:sz w:val="20"/>
        <w:lang w:val="en-US"/>
      </w:rPr>
      <w:t xml:space="preserve">325 Swanton Way, 30030, Decatur, Ga, 30030, USA. Email: </w:t>
    </w:r>
    <w:hyperlink r:id="rId3" w:history="1">
      <w:r w:rsidRPr="00251DD4">
        <w:rPr>
          <w:rStyle w:val="Hyperlink"/>
          <w:rFonts w:asciiTheme="majorHAnsi" w:hAnsiTheme="majorHAnsi"/>
          <w:sz w:val="20"/>
          <w:lang w:val="en-US"/>
        </w:rPr>
        <w:t>mectizan@mectizan.org</w:t>
      </w:r>
    </w:hyperlink>
  </w:p>
  <w:p w:rsidR="00251DD4" w:rsidRPr="00251DD4" w:rsidRDefault="00251DD4" w:rsidP="00251DD4">
    <w:pPr>
      <w:pStyle w:val="Header"/>
      <w:ind w:left="-360"/>
      <w:rPr>
        <w:sz w:val="20"/>
        <w:lang w:val="en-US"/>
      </w:rPr>
    </w:pPr>
    <w:r w:rsidRPr="00251DD4">
      <w:rPr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9E9"/>
    <w:multiLevelType w:val="hybridMultilevel"/>
    <w:tmpl w:val="7406A262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CB11465"/>
    <w:multiLevelType w:val="hybridMultilevel"/>
    <w:tmpl w:val="C8E80914"/>
    <w:lvl w:ilvl="0" w:tplc="5BDA10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290A29"/>
    <w:multiLevelType w:val="hybridMultilevel"/>
    <w:tmpl w:val="E710E3C8"/>
    <w:lvl w:ilvl="0" w:tplc="13BA07D6">
      <w:start w:val="159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55F37"/>
    <w:multiLevelType w:val="hybridMultilevel"/>
    <w:tmpl w:val="9778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F8511C"/>
    <w:multiLevelType w:val="hybridMultilevel"/>
    <w:tmpl w:val="CC046836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04A3E9D"/>
    <w:multiLevelType w:val="hybridMultilevel"/>
    <w:tmpl w:val="C8E80914"/>
    <w:lvl w:ilvl="0" w:tplc="5BDA10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0C381A"/>
    <w:multiLevelType w:val="hybridMultilevel"/>
    <w:tmpl w:val="E19810D8"/>
    <w:lvl w:ilvl="0" w:tplc="3F8A03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6B"/>
    <w:rsid w:val="00004044"/>
    <w:rsid w:val="0001150C"/>
    <w:rsid w:val="00067167"/>
    <w:rsid w:val="000874D6"/>
    <w:rsid w:val="000E2ECE"/>
    <w:rsid w:val="0013240C"/>
    <w:rsid w:val="001A6EC9"/>
    <w:rsid w:val="00251DD4"/>
    <w:rsid w:val="002878D9"/>
    <w:rsid w:val="00344D1E"/>
    <w:rsid w:val="00394DCD"/>
    <w:rsid w:val="00464EFD"/>
    <w:rsid w:val="00582A4B"/>
    <w:rsid w:val="0059696D"/>
    <w:rsid w:val="00615998"/>
    <w:rsid w:val="00626F68"/>
    <w:rsid w:val="0069618E"/>
    <w:rsid w:val="006D5419"/>
    <w:rsid w:val="006F2611"/>
    <w:rsid w:val="00715614"/>
    <w:rsid w:val="0073431F"/>
    <w:rsid w:val="007A6109"/>
    <w:rsid w:val="008446B0"/>
    <w:rsid w:val="008B6A6D"/>
    <w:rsid w:val="00901C6B"/>
    <w:rsid w:val="00930638"/>
    <w:rsid w:val="00AF7F54"/>
    <w:rsid w:val="00B1413E"/>
    <w:rsid w:val="00B24D6C"/>
    <w:rsid w:val="00B806A1"/>
    <w:rsid w:val="00BD7A05"/>
    <w:rsid w:val="00C510AF"/>
    <w:rsid w:val="00C67667"/>
    <w:rsid w:val="00C72D05"/>
    <w:rsid w:val="00C91433"/>
    <w:rsid w:val="00CC0A97"/>
    <w:rsid w:val="00D834CC"/>
    <w:rsid w:val="00D865CB"/>
    <w:rsid w:val="00DA1462"/>
    <w:rsid w:val="00DC3C37"/>
    <w:rsid w:val="00E65859"/>
    <w:rsid w:val="00E931DC"/>
    <w:rsid w:val="00EE2E5D"/>
    <w:rsid w:val="00F27F56"/>
    <w:rsid w:val="00F51031"/>
    <w:rsid w:val="00F64F56"/>
    <w:rsid w:val="00F67042"/>
    <w:rsid w:val="00F830CF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3D177"/>
  <w15:docId w15:val="{27A4DA6B-D8FA-4B5E-85FC-1C11A41A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6B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1C6B"/>
    <w:rPr>
      <w:rFonts w:cs="Times New Roman"/>
      <w:color w:val="0563C1"/>
      <w:u w:val="single"/>
    </w:rPr>
  </w:style>
  <w:style w:type="paragraph" w:styleId="Caption">
    <w:name w:val="caption"/>
    <w:basedOn w:val="Normal"/>
    <w:next w:val="Normal"/>
    <w:qFormat/>
    <w:rsid w:val="00901C6B"/>
    <w:rPr>
      <w:rFonts w:ascii="Times New Roman" w:hAnsi="Times New Roman"/>
      <w:b/>
      <w:bCs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6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C9"/>
    <w:rPr>
      <w:rFonts w:ascii="CG Times" w:eastAsia="Times New Roman" w:hAnsi="CG Times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6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C9"/>
    <w:rPr>
      <w:rFonts w:ascii="CG Times" w:eastAsia="Times New Roman" w:hAnsi="CG Times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97"/>
    <w:rPr>
      <w:rFonts w:ascii="Tahoma" w:eastAsia="Times New Roman" w:hAnsi="Tahoma" w:cs="Tahoma"/>
      <w:sz w:val="16"/>
      <w:szCs w:val="16"/>
      <w:lang w:val="fr-FR"/>
    </w:rPr>
  </w:style>
  <w:style w:type="character" w:styleId="Strong">
    <w:name w:val="Strong"/>
    <w:basedOn w:val="DefaultParagraphFont"/>
    <w:uiPriority w:val="22"/>
    <w:qFormat/>
    <w:rsid w:val="00B8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ctizan@mectiz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ctizan@mectizan.org" TargetMode="External"/><Relationship Id="rId2" Type="http://schemas.openxmlformats.org/officeDocument/2006/relationships/image" Target="cid:image002.jpg@01D35D60.649C88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Sodahlon</dc:creator>
  <cp:lastModifiedBy>Yao Sodahlon</cp:lastModifiedBy>
  <cp:revision>7</cp:revision>
  <dcterms:created xsi:type="dcterms:W3CDTF">2018-11-02T12:55:00Z</dcterms:created>
  <dcterms:modified xsi:type="dcterms:W3CDTF">2018-11-25T11:02:00Z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